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D0D66" w14:textId="77777777" w:rsidR="00CC27F4" w:rsidRPr="00CC27F4" w:rsidRDefault="00CC27F4" w:rsidP="00232B1F">
      <w:pPr>
        <w:spacing w:after="120" w:line="276" w:lineRule="auto"/>
        <w:jc w:val="center"/>
        <w:rPr>
          <w:rFonts w:ascii="Verdana" w:hAnsi="Verdana"/>
          <w:b/>
          <w:bCs/>
          <w:sz w:val="24"/>
        </w:rPr>
      </w:pPr>
      <w:r w:rsidRPr="00CC27F4">
        <w:rPr>
          <w:rFonts w:ascii="Verdana" w:hAnsi="Verdana"/>
          <w:b/>
          <w:bCs/>
          <w:sz w:val="24"/>
        </w:rPr>
        <w:t>ЕАБР предложил архитектуру энергетической связанности Центральной Азии: ставка на управление, а не на провода</w:t>
      </w:r>
    </w:p>
    <w:p w14:paraId="7B018828" w14:textId="69661110" w:rsidR="003E30E1" w:rsidRPr="007A68A7" w:rsidRDefault="003E30E1" w:rsidP="00232B1F">
      <w:pPr>
        <w:spacing w:after="120" w:line="276" w:lineRule="auto"/>
        <w:jc w:val="both"/>
        <w:rPr>
          <w:rFonts w:ascii="Verdana" w:hAnsi="Verdana"/>
          <w:bCs/>
        </w:rPr>
      </w:pPr>
      <w:r w:rsidRPr="00CC27F4">
        <w:rPr>
          <w:rFonts w:ascii="Verdana" w:hAnsi="Verdana"/>
          <w:b/>
        </w:rPr>
        <w:t xml:space="preserve">Алматы, </w:t>
      </w:r>
      <w:r w:rsidR="003C6542" w:rsidRPr="003C6542">
        <w:rPr>
          <w:rFonts w:ascii="Verdana" w:hAnsi="Verdana"/>
          <w:b/>
        </w:rPr>
        <w:t>2</w:t>
      </w:r>
      <w:r w:rsidR="003C6542" w:rsidRPr="00FE0E80">
        <w:rPr>
          <w:rFonts w:ascii="Verdana" w:hAnsi="Verdana"/>
          <w:b/>
        </w:rPr>
        <w:t xml:space="preserve">9 </w:t>
      </w:r>
      <w:r w:rsidR="003C6542">
        <w:rPr>
          <w:rFonts w:ascii="Verdana" w:hAnsi="Verdana"/>
          <w:b/>
        </w:rPr>
        <w:t>октября</w:t>
      </w:r>
      <w:r w:rsidRPr="00CC27F4">
        <w:rPr>
          <w:rFonts w:ascii="Verdana" w:hAnsi="Verdana"/>
          <w:b/>
        </w:rPr>
        <w:t xml:space="preserve"> 2026 года. —</w:t>
      </w:r>
      <w:r w:rsidRPr="00CC27F4">
        <w:rPr>
          <w:rFonts w:ascii="Verdana" w:hAnsi="Verdana"/>
          <w:bCs/>
        </w:rPr>
        <w:t xml:space="preserve"> </w:t>
      </w:r>
      <w:r w:rsidRPr="007A68A7">
        <w:rPr>
          <w:rFonts w:ascii="Verdana" w:hAnsi="Verdana"/>
          <w:bCs/>
        </w:rPr>
        <w:t xml:space="preserve">Евразийский банк развития </w:t>
      </w:r>
      <w:r>
        <w:rPr>
          <w:rFonts w:ascii="Verdana" w:hAnsi="Verdana"/>
          <w:bCs/>
        </w:rPr>
        <w:t xml:space="preserve">(ЕАБР) </w:t>
      </w:r>
      <w:r w:rsidRPr="007A68A7">
        <w:rPr>
          <w:rFonts w:ascii="Verdana" w:hAnsi="Verdana"/>
          <w:bCs/>
        </w:rPr>
        <w:t>представил доклад «Энергия без границ: архитектура электроэнергетической связанности Центральной Азии». Доклад отвечает на вопрос, как региону получить больше энергии без строительства новых электростанций — за сч</w:t>
      </w:r>
      <w:r>
        <w:rPr>
          <w:rFonts w:ascii="Verdana" w:hAnsi="Verdana"/>
          <w:bCs/>
        </w:rPr>
        <w:t>е</w:t>
      </w:r>
      <w:r w:rsidRPr="007A68A7">
        <w:rPr>
          <w:rFonts w:ascii="Verdana" w:hAnsi="Verdana"/>
          <w:bCs/>
        </w:rPr>
        <w:t>т координации режимов, цифровой наблюдаемости и поэтапного развития рынка.</w:t>
      </w:r>
    </w:p>
    <w:p w14:paraId="04D15E7F" w14:textId="648048AB" w:rsidR="003E30E1" w:rsidRDefault="00DF05DE" w:rsidP="00232B1F">
      <w:pPr>
        <w:spacing w:after="120" w:line="276" w:lineRule="auto"/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Одна из ключевых п</w:t>
      </w:r>
      <w:r w:rsidR="003E30E1" w:rsidRPr="007A68A7">
        <w:rPr>
          <w:rFonts w:ascii="Verdana" w:hAnsi="Verdana"/>
          <w:bCs/>
        </w:rPr>
        <w:t xml:space="preserve">роблем, которую фиксирует доклад, — не в отсутствии мощностей, а в их доступности. </w:t>
      </w:r>
      <w:r w:rsidR="003E30E1">
        <w:rPr>
          <w:rFonts w:ascii="Verdana" w:hAnsi="Verdana"/>
          <w:bCs/>
        </w:rPr>
        <w:t>Так, в</w:t>
      </w:r>
      <w:r w:rsidR="003E30E1" w:rsidRPr="007A68A7">
        <w:rPr>
          <w:rFonts w:ascii="Verdana" w:hAnsi="Verdana"/>
          <w:bCs/>
        </w:rPr>
        <w:t xml:space="preserve"> час годового максимума нагрузки 10 декабря 2024 года установленная мощность электростанций Объедин</w:t>
      </w:r>
      <w:r w:rsidR="003E30E1">
        <w:rPr>
          <w:rFonts w:ascii="Verdana" w:hAnsi="Verdana"/>
          <w:bCs/>
        </w:rPr>
        <w:t>е</w:t>
      </w:r>
      <w:r w:rsidR="003E30E1" w:rsidRPr="007A68A7">
        <w:rPr>
          <w:rFonts w:ascii="Verdana" w:hAnsi="Verdana"/>
          <w:bCs/>
        </w:rPr>
        <w:t>нной энергосистемы Центральной Азии составляла 36,4 ГВт, тогда как располагаемая — лишь 28,8 ГВт. Около 6,6 ГВт оказались недоступны системе именно тогда, когда она была нужнее всего.</w:t>
      </w:r>
    </w:p>
    <w:p w14:paraId="6F22DA44" w14:textId="2870A5C9" w:rsidR="003E30E1" w:rsidRDefault="003E30E1" w:rsidP="00232B1F">
      <w:pPr>
        <w:spacing w:after="120" w:line="276" w:lineRule="auto"/>
        <w:jc w:val="both"/>
        <w:rPr>
          <w:rFonts w:ascii="Verdana" w:hAnsi="Verdana"/>
          <w:bCs/>
        </w:rPr>
      </w:pPr>
      <w:r w:rsidRPr="007A68A7">
        <w:rPr>
          <w:rFonts w:ascii="Verdana" w:hAnsi="Verdana"/>
          <w:bCs/>
        </w:rPr>
        <w:t xml:space="preserve">По оценкам экспертов Банка, устранение этого разрыва способно принести региону чистый экономический эффект до </w:t>
      </w:r>
      <w:r w:rsidR="00DF05DE">
        <w:rPr>
          <w:rFonts w:ascii="Verdana" w:hAnsi="Verdana"/>
          <w:bCs/>
        </w:rPr>
        <w:t>120</w:t>
      </w:r>
      <w:r w:rsidRPr="007A68A7">
        <w:rPr>
          <w:rFonts w:ascii="Verdana" w:hAnsi="Verdana"/>
          <w:bCs/>
        </w:rPr>
        <w:t xml:space="preserve"> млн долл. в год.</w:t>
      </w:r>
    </w:p>
    <w:p w14:paraId="507F9F0C" w14:textId="77777777" w:rsidR="003E30E1" w:rsidRPr="00BA1186" w:rsidRDefault="003E30E1" w:rsidP="003E30E1">
      <w:pPr>
        <w:spacing w:after="120" w:line="276" w:lineRule="auto"/>
        <w:jc w:val="both"/>
        <w:rPr>
          <w:rFonts w:ascii="Verdana" w:hAnsi="Verdana"/>
          <w:b/>
        </w:rPr>
      </w:pPr>
      <w:r w:rsidRPr="00BA1186">
        <w:rPr>
          <w:rFonts w:ascii="Verdana" w:hAnsi="Verdana"/>
          <w:b/>
        </w:rPr>
        <w:t>Краткие выводы доклада</w:t>
      </w:r>
    </w:p>
    <w:p w14:paraId="4B057A5B" w14:textId="77777777" w:rsidR="003E30E1" w:rsidRPr="00BA1186" w:rsidRDefault="003E30E1" w:rsidP="003E30E1">
      <w:pPr>
        <w:pStyle w:val="a8"/>
        <w:numPr>
          <w:ilvl w:val="0"/>
          <w:numId w:val="1"/>
        </w:numPr>
        <w:spacing w:after="120" w:line="276" w:lineRule="auto"/>
        <w:jc w:val="both"/>
        <w:rPr>
          <w:rFonts w:ascii="Verdana" w:hAnsi="Verdana"/>
          <w:bCs/>
        </w:rPr>
      </w:pPr>
      <w:r w:rsidRPr="00BA1186">
        <w:rPr>
          <w:rFonts w:ascii="Verdana" w:hAnsi="Verdana"/>
          <w:b/>
        </w:rPr>
        <w:t>Проблема не в мощности, а в её доступности.</w:t>
      </w:r>
      <w:r w:rsidRPr="00BA1186">
        <w:rPr>
          <w:rFonts w:ascii="Verdana" w:hAnsi="Verdana"/>
          <w:bCs/>
        </w:rPr>
        <w:t xml:space="preserve"> В пик 10 декабря 2024 года системе было недоступно 6,6 ГВт — из-за холодного резерва, гидрологических и топливных ограничений, состояния оборудования и сетевых ограничений.</w:t>
      </w:r>
    </w:p>
    <w:p w14:paraId="2C33DD96" w14:textId="77777777" w:rsidR="003E30E1" w:rsidRPr="00BA1186" w:rsidRDefault="003E30E1" w:rsidP="003E30E1">
      <w:pPr>
        <w:pStyle w:val="a8"/>
        <w:numPr>
          <w:ilvl w:val="0"/>
          <w:numId w:val="1"/>
        </w:numPr>
        <w:spacing w:after="120" w:line="276" w:lineRule="auto"/>
        <w:jc w:val="both"/>
        <w:rPr>
          <w:rFonts w:ascii="Verdana" w:hAnsi="Verdana"/>
          <w:bCs/>
        </w:rPr>
      </w:pPr>
      <w:r w:rsidRPr="00BA1186">
        <w:rPr>
          <w:rFonts w:ascii="Verdana" w:hAnsi="Verdana"/>
          <w:b/>
        </w:rPr>
        <w:t>Регион связан физически, но почти не связан коммерчески.</w:t>
      </w:r>
      <w:r w:rsidRPr="00BA1186">
        <w:rPr>
          <w:rFonts w:ascii="Verdana" w:hAnsi="Verdana"/>
          <w:bCs/>
        </w:rPr>
        <w:t xml:space="preserve"> Взаимная торговля электроэнергией в ОЭС ЦА составила 12,1 млрд кВт·ч в 2024 году — заметно ниже уровня зрелых региональных рынков.</w:t>
      </w:r>
    </w:p>
    <w:p w14:paraId="5CC885E1" w14:textId="4CDE8FBF" w:rsidR="003E30E1" w:rsidRPr="00BA1186" w:rsidRDefault="00FA1DF3" w:rsidP="003E30E1">
      <w:pPr>
        <w:pStyle w:val="a8"/>
        <w:numPr>
          <w:ilvl w:val="0"/>
          <w:numId w:val="1"/>
        </w:numPr>
        <w:spacing w:after="120" w:line="276" w:lineRule="auto"/>
        <w:jc w:val="both"/>
        <w:rPr>
          <w:rFonts w:ascii="Verdana" w:hAnsi="Verdana"/>
          <w:bCs/>
        </w:rPr>
      </w:pPr>
      <w:r>
        <w:rPr>
          <w:rFonts w:ascii="Verdana" w:hAnsi="Verdana"/>
          <w:b/>
        </w:rPr>
        <w:t>Начальный э</w:t>
      </w:r>
      <w:r w:rsidR="003E30E1" w:rsidRPr="00BA1186">
        <w:rPr>
          <w:rFonts w:ascii="Verdana" w:hAnsi="Verdana"/>
          <w:b/>
        </w:rPr>
        <w:t>ффект достижим без крупных строек.</w:t>
      </w:r>
      <w:r w:rsidR="003E30E1" w:rsidRPr="00BA1186">
        <w:rPr>
          <w:rFonts w:ascii="Verdana" w:hAnsi="Verdana"/>
          <w:bCs/>
        </w:rPr>
        <w:t xml:space="preserve"> Цифровизация, расчёт реальной пропускной способности и координация режимов</w:t>
      </w:r>
      <w:r>
        <w:rPr>
          <w:rFonts w:ascii="Verdana" w:hAnsi="Verdana"/>
          <w:bCs/>
        </w:rPr>
        <w:t xml:space="preserve"> могут дать</w:t>
      </w:r>
      <w:r w:rsidR="003E30E1" w:rsidRPr="00BA1186">
        <w:rPr>
          <w:rFonts w:ascii="Verdana" w:hAnsi="Verdana"/>
          <w:bCs/>
        </w:rPr>
        <w:t xml:space="preserve"> </w:t>
      </w:r>
      <w:r>
        <w:rPr>
          <w:rFonts w:ascii="Verdana" w:hAnsi="Verdana"/>
          <w:bCs/>
        </w:rPr>
        <w:t xml:space="preserve"> до 6</w:t>
      </w:r>
      <w:r w:rsidR="003E30E1" w:rsidRPr="00BA1186">
        <w:rPr>
          <w:rFonts w:ascii="Verdana" w:hAnsi="Verdana"/>
          <w:bCs/>
        </w:rPr>
        <w:t xml:space="preserve"> млрд кВт·ч дополнительной торговли в год.</w:t>
      </w:r>
    </w:p>
    <w:p w14:paraId="13C4E008" w14:textId="7C25E1F9" w:rsidR="003E30E1" w:rsidRPr="00BA1186" w:rsidRDefault="003E30E1" w:rsidP="003E30E1">
      <w:pPr>
        <w:pStyle w:val="a8"/>
        <w:numPr>
          <w:ilvl w:val="0"/>
          <w:numId w:val="1"/>
        </w:numPr>
        <w:spacing w:after="120" w:line="276" w:lineRule="auto"/>
        <w:jc w:val="both"/>
        <w:rPr>
          <w:rFonts w:ascii="Verdana" w:hAnsi="Verdana"/>
          <w:bCs/>
        </w:rPr>
      </w:pPr>
      <w:r w:rsidRPr="00BA1186">
        <w:rPr>
          <w:rFonts w:ascii="Verdana" w:hAnsi="Verdana"/>
          <w:b/>
        </w:rPr>
        <w:t>Экономика вопроса.</w:t>
      </w:r>
      <w:r w:rsidRPr="00BA1186">
        <w:rPr>
          <w:rFonts w:ascii="Verdana" w:hAnsi="Verdana"/>
          <w:bCs/>
        </w:rPr>
        <w:t xml:space="preserve"> Валовый эффект интеграции — до </w:t>
      </w:r>
      <w:r w:rsidR="00DF05DE">
        <w:rPr>
          <w:rFonts w:ascii="Verdana" w:hAnsi="Verdana"/>
          <w:bCs/>
        </w:rPr>
        <w:t>640</w:t>
      </w:r>
      <w:r w:rsidRPr="00BA1186">
        <w:rPr>
          <w:rFonts w:ascii="Verdana" w:hAnsi="Verdana"/>
          <w:bCs/>
        </w:rPr>
        <w:t xml:space="preserve"> млн долл. в год, чистый (после затрат) — </w:t>
      </w:r>
      <w:r w:rsidR="00DF05DE">
        <w:rPr>
          <w:rFonts w:ascii="Verdana" w:hAnsi="Verdana"/>
          <w:bCs/>
        </w:rPr>
        <w:t xml:space="preserve">до </w:t>
      </w:r>
      <w:r w:rsidRPr="00BA1186">
        <w:rPr>
          <w:rFonts w:ascii="Verdana" w:hAnsi="Verdana"/>
          <w:bCs/>
        </w:rPr>
        <w:t>1</w:t>
      </w:r>
      <w:r w:rsidR="00DF05DE">
        <w:rPr>
          <w:rFonts w:ascii="Verdana" w:hAnsi="Verdana"/>
          <w:bCs/>
        </w:rPr>
        <w:t>20</w:t>
      </w:r>
      <w:r w:rsidRPr="00BA1186">
        <w:rPr>
          <w:rFonts w:ascii="Verdana" w:hAnsi="Verdana"/>
          <w:bCs/>
        </w:rPr>
        <w:t xml:space="preserve"> млн долл. в год. Оценка сценарная и показывает порядок величины.</w:t>
      </w:r>
    </w:p>
    <w:p w14:paraId="02D35DD7" w14:textId="77777777" w:rsidR="003E30E1" w:rsidRPr="00BA1186" w:rsidRDefault="003E30E1" w:rsidP="003E30E1">
      <w:pPr>
        <w:pStyle w:val="a8"/>
        <w:numPr>
          <w:ilvl w:val="0"/>
          <w:numId w:val="1"/>
        </w:numPr>
        <w:spacing w:after="120" w:line="276" w:lineRule="auto"/>
        <w:jc w:val="both"/>
        <w:rPr>
          <w:rFonts w:ascii="Verdana" w:hAnsi="Verdana"/>
          <w:bCs/>
        </w:rPr>
      </w:pPr>
      <w:r w:rsidRPr="00BA1186">
        <w:rPr>
          <w:rFonts w:ascii="Verdana" w:hAnsi="Verdana"/>
          <w:b/>
        </w:rPr>
        <w:t>Развитие ВИЭ повышает цену несогласованности.</w:t>
      </w:r>
      <w:r w:rsidRPr="00BA1186">
        <w:rPr>
          <w:rFonts w:ascii="Verdana" w:hAnsi="Verdana"/>
          <w:bCs/>
        </w:rPr>
        <w:t xml:space="preserve"> До 2035 года планируется ввод более 35 ГВт переменной генерации. Уже в 2026–2028 годах в Узбекистане прогнозируются вынужденные ограничения выработки ВИЭ на 2,1–3,5 млрд кВт·ч в год.</w:t>
      </w:r>
    </w:p>
    <w:p w14:paraId="01C3A6CC" w14:textId="77777777" w:rsidR="003E30E1" w:rsidRPr="00BA1186" w:rsidRDefault="003E30E1" w:rsidP="003E30E1">
      <w:pPr>
        <w:pStyle w:val="a8"/>
        <w:numPr>
          <w:ilvl w:val="0"/>
          <w:numId w:val="1"/>
        </w:numPr>
        <w:spacing w:after="120" w:line="276" w:lineRule="auto"/>
        <w:jc w:val="both"/>
        <w:rPr>
          <w:rFonts w:ascii="Verdana" w:hAnsi="Verdana"/>
          <w:bCs/>
        </w:rPr>
      </w:pPr>
      <w:r w:rsidRPr="003E30E1">
        <w:rPr>
          <w:rFonts w:ascii="Verdana" w:hAnsi="Verdana"/>
          <w:b/>
        </w:rPr>
        <w:t xml:space="preserve">Главный риск — распределительный. </w:t>
      </w:r>
      <w:r w:rsidRPr="00BA1186">
        <w:rPr>
          <w:rFonts w:ascii="Verdana" w:hAnsi="Verdana"/>
          <w:bCs/>
        </w:rPr>
        <w:t>Положительный эффект для региона в целом не означает равномерного распределения выгод между странами. Проект может быть экономически полезным, но политически трудным, пока механизм распределения не определён заранее.</w:t>
      </w:r>
    </w:p>
    <w:p w14:paraId="02DF1820" w14:textId="77777777" w:rsidR="008705C1" w:rsidRPr="008705C1" w:rsidRDefault="008705C1" w:rsidP="008705C1">
      <w:pPr>
        <w:spacing w:after="120" w:line="276" w:lineRule="auto"/>
        <w:jc w:val="both"/>
        <w:rPr>
          <w:rFonts w:ascii="Verdana" w:hAnsi="Verdana"/>
          <w:bCs/>
        </w:rPr>
      </w:pPr>
    </w:p>
    <w:p w14:paraId="5804000F" w14:textId="77777777" w:rsidR="00CC27F4" w:rsidRPr="008705C1" w:rsidRDefault="00CC27F4" w:rsidP="00232B1F">
      <w:pPr>
        <w:keepNext/>
        <w:spacing w:after="120" w:line="276" w:lineRule="auto"/>
        <w:jc w:val="both"/>
        <w:rPr>
          <w:rFonts w:ascii="Verdana" w:hAnsi="Verdana"/>
          <w:b/>
        </w:rPr>
      </w:pPr>
      <w:r w:rsidRPr="008705C1">
        <w:rPr>
          <w:rFonts w:ascii="Verdana" w:hAnsi="Verdana"/>
          <w:b/>
        </w:rPr>
        <w:lastRenderedPageBreak/>
        <w:t>Подробнее о докладе</w:t>
      </w:r>
    </w:p>
    <w:p w14:paraId="2C832B7F" w14:textId="77777777" w:rsidR="00CC27F4" w:rsidRPr="00CC27F4" w:rsidRDefault="00CC27F4" w:rsidP="00CC27F4">
      <w:pPr>
        <w:spacing w:after="120" w:line="276" w:lineRule="auto"/>
        <w:jc w:val="both"/>
        <w:rPr>
          <w:rFonts w:ascii="Verdana" w:hAnsi="Verdana"/>
          <w:bCs/>
        </w:rPr>
      </w:pPr>
      <w:r w:rsidRPr="00CC27F4">
        <w:rPr>
          <w:rFonts w:ascii="Verdana" w:hAnsi="Verdana"/>
          <w:bCs/>
        </w:rPr>
        <w:t>Центральная Азия не начинает энергетическую интеграцию с нуля. Регион унаследовал развитую сетевую связанность, отработанные схемы сезонных водно-энергетических обменов и редкое сочетание взаимодополняющих ресурсов: тепловую генерацию Узбекистана, Казахстана и Туркменистана, гидропотенциал Кыргызстана и Таджикистана, растущие солнечные и ветровые мощности, крупные центры спроса и несколько внешних торговых направлений.</w:t>
      </w:r>
    </w:p>
    <w:p w14:paraId="3F287E21" w14:textId="77777777" w:rsidR="00CC27F4" w:rsidRPr="00CC27F4" w:rsidRDefault="00CC27F4" w:rsidP="00CC27F4">
      <w:pPr>
        <w:spacing w:after="120" w:line="276" w:lineRule="auto"/>
        <w:jc w:val="both"/>
        <w:rPr>
          <w:rFonts w:ascii="Verdana" w:hAnsi="Verdana"/>
          <w:bCs/>
        </w:rPr>
      </w:pPr>
      <w:r w:rsidRPr="00CC27F4">
        <w:rPr>
          <w:rFonts w:ascii="Verdana" w:hAnsi="Verdana"/>
          <w:bCs/>
        </w:rPr>
        <w:t>Однако прежняя архитектура формировалась для другой реальности. Она проектировалась под централизованное планирование, предсказуемый спрос и генерацию, режим работы которой определялся диспетчером, а не погодой. Сегодня условия изменились: спрос растет темпами до 6% в год и к 2030 г. может достичь порядка 370 млрд кВт·ч, значительная часть сетей и станций требует модернизации, а доля переменной генерации быстро увеличивается. Все это требует принципиально более высокой управляемости энергосистемы.</w:t>
      </w:r>
    </w:p>
    <w:p w14:paraId="0F7B8D69" w14:textId="77777777" w:rsidR="00CC27F4" w:rsidRPr="00CC27F4" w:rsidRDefault="00CC27F4" w:rsidP="00CC27F4">
      <w:pPr>
        <w:spacing w:after="120" w:line="276" w:lineRule="auto"/>
        <w:jc w:val="both"/>
        <w:rPr>
          <w:rFonts w:ascii="Verdana" w:hAnsi="Verdana"/>
          <w:bCs/>
        </w:rPr>
      </w:pPr>
      <w:r w:rsidRPr="00CC27F4">
        <w:rPr>
          <w:rFonts w:ascii="Verdana" w:hAnsi="Verdana"/>
          <w:bCs/>
        </w:rPr>
        <w:t>Ключевой тезис доклада состоит в том, что будущая ценность связанности определяется не количеством линий электропередачи, а качеством управления режимами. Провода без правил остаются линиями на карте.</w:t>
      </w:r>
    </w:p>
    <w:p w14:paraId="11ECAB52" w14:textId="77777777" w:rsidR="00CC27F4" w:rsidRPr="00CC27F4" w:rsidRDefault="00CC27F4" w:rsidP="00CC27F4">
      <w:pPr>
        <w:spacing w:after="120" w:line="276" w:lineRule="auto"/>
        <w:jc w:val="both"/>
        <w:rPr>
          <w:rFonts w:ascii="Verdana" w:hAnsi="Verdana"/>
          <w:bCs/>
        </w:rPr>
      </w:pPr>
      <w:r w:rsidRPr="00CC27F4">
        <w:rPr>
          <w:rFonts w:ascii="Verdana" w:hAnsi="Verdana"/>
          <w:bCs/>
        </w:rPr>
        <w:t>Доклад опирается на режимные данные Координационного диспетчерского центра «Энергия» и рассматривает региональную электроэнергетическую кооперацию как практический механизм стратегии «среднего пути» — баланса надежности, доступности энергии и экологической устойчивости.</w:t>
      </w:r>
    </w:p>
    <w:p w14:paraId="3F7528C7" w14:textId="77777777" w:rsidR="00CC27F4" w:rsidRPr="00CC27F4" w:rsidRDefault="00CC27F4" w:rsidP="00CC27F4">
      <w:pPr>
        <w:spacing w:after="120" w:line="276" w:lineRule="auto"/>
        <w:jc w:val="both"/>
        <w:rPr>
          <w:rFonts w:ascii="Verdana" w:hAnsi="Verdana"/>
          <w:bCs/>
        </w:rPr>
      </w:pPr>
      <w:r w:rsidRPr="00CC27F4">
        <w:rPr>
          <w:rFonts w:ascii="Verdana" w:hAnsi="Verdana"/>
          <w:bCs/>
        </w:rPr>
        <w:t>Отдельное внимание уделено гидроэнергетике. Токтогул, Нарынский каскад, Нурек и перспективный Рогун формируют для всего региона ресурс регулирования, пикового покрытия и сезонной балансировки. Вода в Центральной Азии — многоцелевой ресурс, связанный с ирригацией, продовольственной безопасностью и межгосударственными обязательствами по попускам. Поэтому доклад исходит из принципа: гидрогибкость должна рассматриваться как оплачиваемая системная услуга, а не как резерв, предоставляемый странам верховья бесплатно в силу географии.</w:t>
      </w:r>
    </w:p>
    <w:p w14:paraId="0CAA38C8" w14:textId="3CCC4021" w:rsidR="00CC27F4" w:rsidRPr="00CC27F4" w:rsidRDefault="00CC27F4" w:rsidP="00CC27F4">
      <w:pPr>
        <w:spacing w:after="120" w:line="276" w:lineRule="auto"/>
        <w:jc w:val="both"/>
        <w:rPr>
          <w:rFonts w:ascii="Verdana" w:hAnsi="Verdana"/>
          <w:bCs/>
        </w:rPr>
      </w:pPr>
      <w:r w:rsidRPr="00CC27F4">
        <w:rPr>
          <w:rFonts w:ascii="Verdana" w:hAnsi="Verdana"/>
          <w:bCs/>
        </w:rPr>
        <w:t xml:space="preserve">По оценкам экспертов ЕАБР, углубление энергетической интеграции в Центральной Азии способно обеспечить валовой системный эффект до </w:t>
      </w:r>
      <w:r w:rsidR="00DF05DE">
        <w:rPr>
          <w:rFonts w:ascii="Verdana" w:hAnsi="Verdana"/>
          <w:bCs/>
        </w:rPr>
        <w:t>64</w:t>
      </w:r>
      <w:r w:rsidRPr="00CC27F4">
        <w:rPr>
          <w:rFonts w:ascii="Verdana" w:hAnsi="Verdana"/>
          <w:bCs/>
        </w:rPr>
        <w:t xml:space="preserve">0 млн долл. в год и чистый экономический эффект после учета затрат на интеграцию в размере </w:t>
      </w:r>
      <w:r w:rsidR="00DF05DE">
        <w:rPr>
          <w:rFonts w:ascii="Verdana" w:hAnsi="Verdana"/>
          <w:bCs/>
        </w:rPr>
        <w:t>до 120</w:t>
      </w:r>
      <w:r w:rsidRPr="00CC27F4">
        <w:rPr>
          <w:rFonts w:ascii="Verdana" w:hAnsi="Verdana"/>
          <w:bCs/>
        </w:rPr>
        <w:t xml:space="preserve"> млн долл. в год. Более эффективное использование существующих сетейможет увеличить </w:t>
      </w:r>
      <w:r w:rsidR="00DF05DE">
        <w:rPr>
          <w:rFonts w:ascii="Verdana" w:hAnsi="Verdana"/>
          <w:bCs/>
        </w:rPr>
        <w:t>торговлю между странами прим</w:t>
      </w:r>
      <w:r w:rsidRPr="00CC27F4">
        <w:rPr>
          <w:rFonts w:ascii="Verdana" w:hAnsi="Verdana"/>
          <w:bCs/>
        </w:rPr>
        <w:t xml:space="preserve">ерно </w:t>
      </w:r>
      <w:r w:rsidR="00DF05DE">
        <w:rPr>
          <w:rFonts w:ascii="Verdana" w:hAnsi="Verdana"/>
          <w:bCs/>
        </w:rPr>
        <w:t xml:space="preserve">на </w:t>
      </w:r>
      <w:r w:rsidR="00FA1DF3">
        <w:rPr>
          <w:rFonts w:ascii="Verdana" w:hAnsi="Verdana"/>
          <w:bCs/>
        </w:rPr>
        <w:t>6</w:t>
      </w:r>
      <w:r w:rsidRPr="00CC27F4">
        <w:rPr>
          <w:rFonts w:ascii="Verdana" w:hAnsi="Verdana"/>
          <w:bCs/>
        </w:rPr>
        <w:t xml:space="preserve"> млрд кВт</w:t>
      </w:r>
      <w:r w:rsidR="00DF05DE">
        <w:rPr>
          <w:rFonts w:ascii="Verdana" w:hAnsi="Verdana"/>
          <w:bCs/>
        </w:rPr>
        <w:t>*</w:t>
      </w:r>
      <w:r w:rsidRPr="00CC27F4">
        <w:rPr>
          <w:rFonts w:ascii="Verdana" w:hAnsi="Verdana"/>
          <w:bCs/>
        </w:rPr>
        <w:t>ч в год.</w:t>
      </w:r>
    </w:p>
    <w:p w14:paraId="79510601" w14:textId="33F60D5E" w:rsidR="00CC27F4" w:rsidRPr="00CC27F4" w:rsidRDefault="00CC27F4" w:rsidP="00CC27F4">
      <w:pPr>
        <w:spacing w:after="120" w:line="276" w:lineRule="auto"/>
        <w:jc w:val="both"/>
        <w:rPr>
          <w:rFonts w:ascii="Verdana" w:hAnsi="Verdana"/>
          <w:bCs/>
        </w:rPr>
      </w:pPr>
      <w:r w:rsidRPr="00CC27F4">
        <w:rPr>
          <w:rFonts w:ascii="Verdana" w:hAnsi="Verdana"/>
          <w:bCs/>
        </w:rPr>
        <w:t>Для реализации этой повестки эксперты ЕАБР выделяют пять ключевых направлений действий</w:t>
      </w:r>
      <w:r w:rsidR="00BE6026">
        <w:rPr>
          <w:rFonts w:ascii="Verdana" w:hAnsi="Verdana"/>
          <w:bCs/>
        </w:rPr>
        <w:t>:</w:t>
      </w:r>
    </w:p>
    <w:p w14:paraId="34603ACB" w14:textId="77777777" w:rsidR="00CC27F4" w:rsidRPr="00CC27F4" w:rsidRDefault="00CC27F4" w:rsidP="00CC27F4">
      <w:pPr>
        <w:spacing w:after="120" w:line="276" w:lineRule="auto"/>
        <w:jc w:val="both"/>
        <w:rPr>
          <w:rFonts w:ascii="Verdana" w:hAnsi="Verdana"/>
          <w:bCs/>
        </w:rPr>
      </w:pPr>
      <w:r w:rsidRPr="00CC27F4">
        <w:rPr>
          <w:rFonts w:ascii="Verdana" w:hAnsi="Verdana"/>
          <w:bCs/>
        </w:rPr>
        <w:t>1.</w:t>
      </w:r>
      <w:r w:rsidRPr="00CC27F4">
        <w:rPr>
          <w:rFonts w:ascii="Verdana" w:hAnsi="Verdana"/>
          <w:bCs/>
        </w:rPr>
        <w:tab/>
        <w:t xml:space="preserve">Цифровая наблюдаемость и коммерческий учет. Основой региональной торговли является способность в каждый момент времени видеть режим и достоверно измерять поставку. </w:t>
      </w:r>
    </w:p>
    <w:p w14:paraId="6ABC3CE9" w14:textId="77777777" w:rsidR="00CC27F4" w:rsidRPr="00CC27F4" w:rsidRDefault="00CC27F4" w:rsidP="00CC27F4">
      <w:pPr>
        <w:spacing w:after="120" w:line="276" w:lineRule="auto"/>
        <w:jc w:val="both"/>
        <w:rPr>
          <w:rFonts w:ascii="Verdana" w:hAnsi="Verdana"/>
          <w:bCs/>
        </w:rPr>
      </w:pPr>
      <w:r w:rsidRPr="00CC27F4">
        <w:rPr>
          <w:rFonts w:ascii="Verdana" w:hAnsi="Verdana"/>
          <w:bCs/>
        </w:rPr>
        <w:lastRenderedPageBreak/>
        <w:t>2.</w:t>
      </w:r>
      <w:r w:rsidRPr="00CC27F4">
        <w:rPr>
          <w:rFonts w:ascii="Verdana" w:hAnsi="Verdana"/>
          <w:bCs/>
        </w:rPr>
        <w:tab/>
        <w:t xml:space="preserve">Расчет и раскрытие реальной пропускной способности. Значительная часть эффекта достигается за счет лучшего использования уже существующих сетей. </w:t>
      </w:r>
    </w:p>
    <w:p w14:paraId="52799534" w14:textId="77777777" w:rsidR="00CC27F4" w:rsidRPr="00CC27F4" w:rsidRDefault="00CC27F4" w:rsidP="00CC27F4">
      <w:pPr>
        <w:spacing w:after="120" w:line="276" w:lineRule="auto"/>
        <w:jc w:val="both"/>
        <w:rPr>
          <w:rFonts w:ascii="Verdana" w:hAnsi="Verdana"/>
          <w:bCs/>
        </w:rPr>
      </w:pPr>
      <w:r w:rsidRPr="00CC27F4">
        <w:rPr>
          <w:rFonts w:ascii="Verdana" w:hAnsi="Verdana"/>
          <w:bCs/>
        </w:rPr>
        <w:t>3.</w:t>
      </w:r>
      <w:r w:rsidRPr="00CC27F4">
        <w:rPr>
          <w:rFonts w:ascii="Verdana" w:hAnsi="Verdana"/>
          <w:bCs/>
        </w:rPr>
        <w:tab/>
        <w:t xml:space="preserve">Приоритетные физические усиления. Доклад формирует портфель проектов, ранжированных по принципу «одно ограничение — один системный эффект — один проект», с измеримыми показателями результата. </w:t>
      </w:r>
    </w:p>
    <w:p w14:paraId="1D5DCE93" w14:textId="77777777" w:rsidR="00CC27F4" w:rsidRPr="00CC27F4" w:rsidRDefault="00CC27F4" w:rsidP="00CC27F4">
      <w:pPr>
        <w:spacing w:after="120" w:line="276" w:lineRule="auto"/>
        <w:jc w:val="both"/>
        <w:rPr>
          <w:rFonts w:ascii="Verdana" w:hAnsi="Verdana"/>
          <w:bCs/>
        </w:rPr>
      </w:pPr>
      <w:r w:rsidRPr="00CC27F4">
        <w:rPr>
          <w:rFonts w:ascii="Verdana" w:hAnsi="Verdana"/>
          <w:bCs/>
        </w:rPr>
        <w:t>4.</w:t>
      </w:r>
      <w:r w:rsidRPr="00CC27F4">
        <w:rPr>
          <w:rFonts w:ascii="Verdana" w:hAnsi="Verdana"/>
          <w:bCs/>
        </w:rPr>
        <w:tab/>
        <w:t xml:space="preserve">Поэтапная рыночная архитектура. Переход предлагается вести последовательно: от упорядоченной двусторонней торговли с четкими правилами урегулирования отклонений — к региональному рынку на сутки вперед, а затем к балансирующему рынку и рынку системных услуг. </w:t>
      </w:r>
    </w:p>
    <w:p w14:paraId="32CA9959" w14:textId="77777777" w:rsidR="00CC27F4" w:rsidRPr="00CC27F4" w:rsidRDefault="00CC27F4" w:rsidP="00CC27F4">
      <w:pPr>
        <w:spacing w:after="120" w:line="276" w:lineRule="auto"/>
        <w:jc w:val="both"/>
        <w:rPr>
          <w:rFonts w:ascii="Verdana" w:hAnsi="Verdana"/>
          <w:bCs/>
        </w:rPr>
      </w:pPr>
      <w:r w:rsidRPr="00CC27F4">
        <w:rPr>
          <w:rFonts w:ascii="Verdana" w:hAnsi="Verdana"/>
          <w:bCs/>
        </w:rPr>
        <w:t>5.</w:t>
      </w:r>
      <w:r w:rsidRPr="00CC27F4">
        <w:rPr>
          <w:rFonts w:ascii="Verdana" w:hAnsi="Verdana"/>
          <w:bCs/>
        </w:rPr>
        <w:tab/>
        <w:t>Оплачиваемая гидрогибкость и явные механизмы компенсации. Регулирующие возможности гидроэнергетики верховьев должны получить экономическую оценку и стать предметом контракта.</w:t>
      </w:r>
    </w:p>
    <w:p w14:paraId="2169AACC" w14:textId="77777777" w:rsidR="00CC27F4" w:rsidRPr="00CC27F4" w:rsidRDefault="00CC27F4" w:rsidP="00CC27F4">
      <w:pPr>
        <w:spacing w:after="120" w:line="276" w:lineRule="auto"/>
        <w:jc w:val="both"/>
        <w:rPr>
          <w:rFonts w:ascii="Verdana" w:hAnsi="Verdana"/>
          <w:bCs/>
        </w:rPr>
      </w:pPr>
      <w:r w:rsidRPr="00CC27F4">
        <w:rPr>
          <w:rFonts w:ascii="Verdana" w:hAnsi="Verdana"/>
          <w:bCs/>
        </w:rPr>
        <w:t>Доклад также рассматривает внешние направления связанности — южное (включая риски и предпосылки проекта CASA-1000), северное, восточное и транскаспийское — и оценивает условия, при которых они усиливают, а не подменяют внутрирегиональную архитектуру.</w:t>
      </w:r>
    </w:p>
    <w:p w14:paraId="6DCA282D" w14:textId="77777777" w:rsidR="00CC27F4" w:rsidRPr="00CC27F4" w:rsidRDefault="00CC27F4" w:rsidP="00CC27F4">
      <w:pPr>
        <w:spacing w:after="120" w:line="276" w:lineRule="auto"/>
        <w:jc w:val="both"/>
        <w:rPr>
          <w:rFonts w:ascii="Verdana" w:hAnsi="Verdana"/>
          <w:bCs/>
        </w:rPr>
      </w:pPr>
      <w:r w:rsidRPr="00CC27F4">
        <w:rPr>
          <w:rFonts w:ascii="Verdana" w:hAnsi="Verdana"/>
          <w:bCs/>
        </w:rPr>
        <w:t>Энергетическая связанность Центральной Азии — это повестка, в которой технический, экономический и институциональный слои неразделимы. Регион располагает физической основой, ресурсной взаимодополняемостью и растущим спросом, который делает координацию экономически оправданной. Вопрос состоит в том, будет ли создана архитектура управления, способная превратить унаследованную сетевую связанность в работающий региональный рынок.</w:t>
      </w:r>
    </w:p>
    <w:p w14:paraId="19ED4AF2" w14:textId="7F563CEA" w:rsidR="00B14DD5" w:rsidRPr="00CB480F" w:rsidRDefault="00CC27F4" w:rsidP="00CC27F4">
      <w:pPr>
        <w:spacing w:after="120" w:line="276" w:lineRule="auto"/>
        <w:jc w:val="both"/>
        <w:rPr>
          <w:rFonts w:ascii="Verdana" w:hAnsi="Verdana"/>
          <w:bCs/>
        </w:rPr>
      </w:pPr>
      <w:r w:rsidRPr="00CC27F4">
        <w:rPr>
          <w:rFonts w:ascii="Verdana" w:hAnsi="Verdana"/>
          <w:bCs/>
        </w:rPr>
        <w:t xml:space="preserve">Подробнее с содержанием доклада «Энергия без границ: архитектура электроэнергетической связанности Центральной Азии» и другими аналитическими материалами можно ознакомиться </w:t>
      </w:r>
      <w:hyperlink r:id="rId7" w:history="1">
        <w:r w:rsidRPr="00FE0E80">
          <w:rPr>
            <w:rStyle w:val="a3"/>
            <w:rFonts w:ascii="Verdana" w:hAnsi="Verdana"/>
            <w:b/>
          </w:rPr>
          <w:t>на сайте Банка</w:t>
        </w:r>
      </w:hyperlink>
      <w:r w:rsidRPr="00CC27F4">
        <w:rPr>
          <w:rFonts w:ascii="Verdana" w:hAnsi="Verdana"/>
          <w:bCs/>
        </w:rPr>
        <w:t>.</w:t>
      </w:r>
    </w:p>
    <w:p w14:paraId="3F60EC7F" w14:textId="77777777" w:rsidR="00B14DD5" w:rsidRPr="00CB480F" w:rsidRDefault="00B14DD5" w:rsidP="001E1E1F">
      <w:pPr>
        <w:spacing w:after="120" w:line="276" w:lineRule="auto"/>
        <w:jc w:val="both"/>
        <w:rPr>
          <w:rFonts w:ascii="Verdana" w:hAnsi="Verdana"/>
          <w:bCs/>
        </w:rPr>
      </w:pPr>
    </w:p>
    <w:p w14:paraId="045DA207" w14:textId="77777777" w:rsidR="00B14DD5" w:rsidRPr="00CB480F" w:rsidRDefault="00B14DD5" w:rsidP="001E1E1F">
      <w:pPr>
        <w:spacing w:after="120" w:line="276" w:lineRule="auto"/>
        <w:jc w:val="both"/>
        <w:rPr>
          <w:rFonts w:ascii="Verdana" w:hAnsi="Verdana"/>
          <w:b/>
          <w:bCs/>
          <w:sz w:val="20"/>
          <w:u w:val="single"/>
        </w:rPr>
      </w:pPr>
      <w:r w:rsidRPr="00CB480F">
        <w:rPr>
          <w:rFonts w:ascii="Verdana" w:hAnsi="Verdana"/>
          <w:b/>
          <w:bCs/>
          <w:sz w:val="20"/>
          <w:u w:val="single"/>
        </w:rPr>
        <w:t>Справочно</w:t>
      </w:r>
      <w:r w:rsidRPr="00CB480F">
        <w:rPr>
          <w:rFonts w:ascii="Verdana" w:hAnsi="Verdana"/>
          <w:b/>
          <w:bCs/>
          <w:sz w:val="20"/>
        </w:rPr>
        <w:t>:</w:t>
      </w:r>
    </w:p>
    <w:p w14:paraId="32873174" w14:textId="1392AA2F" w:rsidR="00330FA5" w:rsidRPr="00330FA5" w:rsidRDefault="00330FA5" w:rsidP="001E1E1F">
      <w:pPr>
        <w:spacing w:after="120" w:line="276" w:lineRule="auto"/>
        <w:jc w:val="both"/>
        <w:rPr>
          <w:rFonts w:ascii="Verdana" w:hAnsi="Verdana"/>
          <w:sz w:val="20"/>
        </w:rPr>
      </w:pPr>
      <w:r w:rsidRPr="00330FA5">
        <w:rPr>
          <w:rFonts w:ascii="Verdana" w:hAnsi="Verdana"/>
          <w:b/>
          <w:bCs/>
          <w:sz w:val="20"/>
        </w:rPr>
        <w:t xml:space="preserve">Евразийский банк развития (ЕАБР) — </w:t>
      </w:r>
      <w:r w:rsidRPr="00330FA5">
        <w:rPr>
          <w:rFonts w:ascii="Verdana" w:hAnsi="Verdana"/>
          <w:sz w:val="20"/>
        </w:rPr>
        <w:t>многосторонний банк развития, осуществляющий инвестиционную деятельность на евразийском пространстве. Уже 20 лет ЕАБР содействует укреплению и расширению экономических связей и всестороннему развитию стран-участниц. К концу июня 2026 года в накопленном портфеле ЕАБР 34</w:t>
      </w:r>
      <w:r w:rsidR="001636F6">
        <w:rPr>
          <w:rFonts w:ascii="Verdana" w:hAnsi="Verdana"/>
          <w:sz w:val="20"/>
        </w:rPr>
        <w:t>8</w:t>
      </w:r>
      <w:r w:rsidRPr="00330FA5">
        <w:rPr>
          <w:rFonts w:ascii="Verdana" w:hAnsi="Verdana"/>
          <w:sz w:val="20"/>
        </w:rPr>
        <w:t xml:space="preserve"> проектов с общим объемом инвестиций на сумму 2</w:t>
      </w:r>
      <w:r w:rsidR="001636F6">
        <w:rPr>
          <w:rFonts w:ascii="Verdana" w:hAnsi="Verdana"/>
          <w:sz w:val="20"/>
        </w:rPr>
        <w:t>2</w:t>
      </w:r>
      <w:r w:rsidRPr="00330FA5">
        <w:rPr>
          <w:rFonts w:ascii="Verdana" w:hAnsi="Verdana"/>
          <w:sz w:val="20"/>
        </w:rPr>
        <w:t>,</w:t>
      </w:r>
      <w:r w:rsidR="001636F6">
        <w:rPr>
          <w:rFonts w:ascii="Verdana" w:hAnsi="Verdana"/>
          <w:sz w:val="20"/>
        </w:rPr>
        <w:t>1</w:t>
      </w:r>
      <w:r w:rsidRPr="00330FA5">
        <w:rPr>
          <w:rFonts w:ascii="Verdana" w:hAnsi="Verdana"/>
          <w:sz w:val="20"/>
        </w:rPr>
        <w:t xml:space="preserve"> млрд долл. США. Основную долю в портфеле ЕАБР занимают проекты с интеграционным эффектом в сферах транспортной инфраструктуры, цифровых систем, зеленой энергетики, сельского хозяйства, промышленности и машиностроения. В своей деятельности Банк руководствуется Целями в области устойчивого развития ООН и принципами ESG.</w:t>
      </w:r>
    </w:p>
    <w:p w14:paraId="63577E42" w14:textId="7CD21063" w:rsidR="00B14DD5" w:rsidRPr="00330FA5" w:rsidRDefault="00330FA5" w:rsidP="001E1E1F">
      <w:pPr>
        <w:spacing w:after="120" w:line="276" w:lineRule="auto"/>
        <w:jc w:val="both"/>
        <w:rPr>
          <w:rFonts w:ascii="Verdana" w:hAnsi="Verdana"/>
          <w:sz w:val="20"/>
        </w:rPr>
      </w:pPr>
      <w:r w:rsidRPr="00330FA5">
        <w:rPr>
          <w:rFonts w:ascii="Verdana" w:hAnsi="Verdana"/>
          <w:sz w:val="20"/>
        </w:rPr>
        <w:t>ЕАБР в рамках Стратегии 2022–2026 реализует 3 мегапроекта: «Водно-энергетический комплекс Центральной Азии», «Евразийский транспортный каркас», «Евразийская товаропроводящая сеть».</w:t>
      </w:r>
    </w:p>
    <w:p w14:paraId="2E938C6F" w14:textId="77777777" w:rsidR="00B14DD5" w:rsidRPr="00830740" w:rsidRDefault="00B14DD5" w:rsidP="001E1E1F">
      <w:pPr>
        <w:spacing w:after="120" w:line="276" w:lineRule="auto"/>
        <w:jc w:val="both"/>
        <w:rPr>
          <w:rFonts w:ascii="Verdana" w:hAnsi="Verdana"/>
        </w:rPr>
      </w:pPr>
    </w:p>
    <w:p w14:paraId="6D7F4BB9" w14:textId="77777777" w:rsidR="00B14DD5" w:rsidRPr="00CB480F" w:rsidRDefault="00B14DD5" w:rsidP="001E1E1F">
      <w:pPr>
        <w:spacing w:line="276" w:lineRule="auto"/>
        <w:jc w:val="both"/>
        <w:rPr>
          <w:rFonts w:ascii="Verdana" w:hAnsi="Verdana"/>
          <w:b/>
        </w:rPr>
      </w:pPr>
      <w:r w:rsidRPr="00CB480F">
        <w:rPr>
          <w:rFonts w:ascii="Verdana" w:hAnsi="Verdana"/>
          <w:b/>
        </w:rPr>
        <w:lastRenderedPageBreak/>
        <w:t>Контакты пресс-центра ЕАБР:</w:t>
      </w:r>
    </w:p>
    <w:p w14:paraId="4788EA66" w14:textId="77777777" w:rsidR="00B14DD5" w:rsidRPr="00830740" w:rsidRDefault="00B14DD5" w:rsidP="001E1E1F">
      <w:pPr>
        <w:spacing w:line="276" w:lineRule="auto"/>
        <w:jc w:val="both"/>
        <w:rPr>
          <w:rFonts w:ascii="Verdana" w:hAnsi="Verdana"/>
        </w:rPr>
      </w:pPr>
      <w:r w:rsidRPr="00830740">
        <w:rPr>
          <w:rFonts w:ascii="Verdana" w:hAnsi="Verdana"/>
        </w:rPr>
        <w:t>+7 (727) 244 40 44, доб. 4774 и 2160</w:t>
      </w:r>
    </w:p>
    <w:p w14:paraId="6A951DFF" w14:textId="77777777" w:rsidR="00B14DD5" w:rsidRPr="00830740" w:rsidRDefault="009F4736" w:rsidP="001E1E1F">
      <w:pPr>
        <w:spacing w:line="276" w:lineRule="auto"/>
        <w:jc w:val="both"/>
        <w:rPr>
          <w:rFonts w:ascii="Verdana" w:hAnsi="Verdana"/>
        </w:rPr>
      </w:pPr>
      <w:hyperlink r:id="rId8" w:history="1">
        <w:r w:rsidR="00B14DD5" w:rsidRPr="00830740">
          <w:rPr>
            <w:rStyle w:val="a3"/>
            <w:rFonts w:ascii="Verdana" w:hAnsi="Verdana"/>
          </w:rPr>
          <w:t>pressa@eabr.org</w:t>
        </w:r>
      </w:hyperlink>
    </w:p>
    <w:p w14:paraId="75ACC2C2" w14:textId="77777777" w:rsidR="00B14DD5" w:rsidRPr="00830740" w:rsidRDefault="009F4736" w:rsidP="001E1E1F">
      <w:pPr>
        <w:spacing w:after="120" w:line="276" w:lineRule="auto"/>
        <w:jc w:val="both"/>
        <w:rPr>
          <w:rFonts w:ascii="Verdana" w:hAnsi="Verdana"/>
        </w:rPr>
      </w:pPr>
      <w:hyperlink r:id="rId9" w:history="1">
        <w:r w:rsidR="00B14DD5" w:rsidRPr="00830740">
          <w:rPr>
            <w:rStyle w:val="a3"/>
            <w:rFonts w:ascii="Verdana" w:hAnsi="Verdana"/>
          </w:rPr>
          <w:t>http://eabr.org</w:t>
        </w:r>
      </w:hyperlink>
    </w:p>
    <w:sectPr w:rsidR="00B14DD5" w:rsidRPr="00830740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9FDDC" w14:textId="77777777" w:rsidR="009F4736" w:rsidRDefault="009F4736" w:rsidP="0026267C">
      <w:r>
        <w:separator/>
      </w:r>
    </w:p>
  </w:endnote>
  <w:endnote w:type="continuationSeparator" w:id="0">
    <w:p w14:paraId="18C2F8B5" w14:textId="77777777" w:rsidR="009F4736" w:rsidRDefault="009F4736" w:rsidP="00262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C4775" w14:textId="77777777" w:rsidR="009F4736" w:rsidRDefault="009F4736" w:rsidP="0026267C">
      <w:r>
        <w:separator/>
      </w:r>
    </w:p>
  </w:footnote>
  <w:footnote w:type="continuationSeparator" w:id="0">
    <w:p w14:paraId="08DF598E" w14:textId="77777777" w:rsidR="009F4736" w:rsidRDefault="009F4736" w:rsidP="002626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FFC46" w14:textId="77777777" w:rsidR="00E15A9F" w:rsidRDefault="00282A2D">
    <w:pPr>
      <w:pStyle w:val="a4"/>
    </w:pPr>
    <w:r>
      <w:rPr>
        <w:noProof/>
        <w:lang w:eastAsia="ru-RU"/>
      </w:rPr>
      <w:drawing>
        <wp:inline distT="0" distB="0" distL="0" distR="0" wp14:anchorId="23EBFACA" wp14:editId="2F00D520">
          <wp:extent cx="2001295" cy="733425"/>
          <wp:effectExtent l="0" t="0" r="0" b="0"/>
          <wp:docPr id="1" name="Рисунок 1" descr="C:\Users\alpatova_ia\Downloads\EDB_Logo_20_year\EDB_Logo_20_year\logo20\CMYK_logo20_1_EN_2line\logo20_1_EN_2li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lpatova_ia\Downloads\EDB_Logo_20_year\EDB_Logo_20_year\logo20\CMYK_logo20_1_EN_2line\logo20_1_EN_2line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871" b="19086"/>
                  <a:stretch/>
                </pic:blipFill>
                <pic:spPr bwMode="auto">
                  <a:xfrm>
                    <a:off x="0" y="0"/>
                    <a:ext cx="2019051" cy="73993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A5DD410" w14:textId="77777777" w:rsidR="00282A2D" w:rsidRDefault="00282A2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5E78BB"/>
    <w:multiLevelType w:val="hybridMultilevel"/>
    <w:tmpl w:val="C6289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6405E2"/>
    <w:multiLevelType w:val="hybridMultilevel"/>
    <w:tmpl w:val="985C67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C8E"/>
    <w:rsid w:val="00096A1E"/>
    <w:rsid w:val="000E721E"/>
    <w:rsid w:val="00110762"/>
    <w:rsid w:val="00115E85"/>
    <w:rsid w:val="001636F6"/>
    <w:rsid w:val="001E1E1F"/>
    <w:rsid w:val="0020293B"/>
    <w:rsid w:val="002251D4"/>
    <w:rsid w:val="00232B1F"/>
    <w:rsid w:val="0026267C"/>
    <w:rsid w:val="00282A2D"/>
    <w:rsid w:val="002A778E"/>
    <w:rsid w:val="003051FC"/>
    <w:rsid w:val="00330FA5"/>
    <w:rsid w:val="00354902"/>
    <w:rsid w:val="003C6542"/>
    <w:rsid w:val="003E30E1"/>
    <w:rsid w:val="003F4D5E"/>
    <w:rsid w:val="0045492F"/>
    <w:rsid w:val="004B5810"/>
    <w:rsid w:val="004C3C8E"/>
    <w:rsid w:val="00503CC8"/>
    <w:rsid w:val="00505F0E"/>
    <w:rsid w:val="0053546F"/>
    <w:rsid w:val="00680AD4"/>
    <w:rsid w:val="006C3073"/>
    <w:rsid w:val="006C7231"/>
    <w:rsid w:val="00733C45"/>
    <w:rsid w:val="007351B6"/>
    <w:rsid w:val="00771CB6"/>
    <w:rsid w:val="007A68A7"/>
    <w:rsid w:val="007C3524"/>
    <w:rsid w:val="00830740"/>
    <w:rsid w:val="008705C1"/>
    <w:rsid w:val="008C206A"/>
    <w:rsid w:val="008E719D"/>
    <w:rsid w:val="009748DB"/>
    <w:rsid w:val="00994312"/>
    <w:rsid w:val="009F4736"/>
    <w:rsid w:val="00B14DD5"/>
    <w:rsid w:val="00B41400"/>
    <w:rsid w:val="00B63728"/>
    <w:rsid w:val="00BA1186"/>
    <w:rsid w:val="00BB6BD2"/>
    <w:rsid w:val="00BD4B64"/>
    <w:rsid w:val="00BE6026"/>
    <w:rsid w:val="00C57858"/>
    <w:rsid w:val="00C6621E"/>
    <w:rsid w:val="00CB480F"/>
    <w:rsid w:val="00CC0062"/>
    <w:rsid w:val="00CC27F4"/>
    <w:rsid w:val="00CC774C"/>
    <w:rsid w:val="00D062F9"/>
    <w:rsid w:val="00DA122E"/>
    <w:rsid w:val="00DF05DE"/>
    <w:rsid w:val="00E15A9F"/>
    <w:rsid w:val="00E4015D"/>
    <w:rsid w:val="00E926E4"/>
    <w:rsid w:val="00F00954"/>
    <w:rsid w:val="00F34D5C"/>
    <w:rsid w:val="00F51951"/>
    <w:rsid w:val="00FA1DF3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0AEAA0"/>
  <w15:chartTrackingRefBased/>
  <w15:docId w15:val="{94C01DDD-2136-447C-A8AE-493BB2F8A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theme="minorBidi"/>
        <w:sz w:val="24"/>
        <w:szCs w:val="22"/>
        <w:lang w:val="ru-RU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740"/>
    <w:pPr>
      <w:spacing w:after="0" w:line="240" w:lineRule="auto"/>
      <w:jc w:val="left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0740"/>
    <w:rPr>
      <w:color w:val="0563C1"/>
      <w:u w:val="single"/>
    </w:rPr>
  </w:style>
  <w:style w:type="paragraph" w:styleId="a4">
    <w:name w:val="header"/>
    <w:basedOn w:val="a"/>
    <w:link w:val="a5"/>
    <w:uiPriority w:val="99"/>
    <w:unhideWhenUsed/>
    <w:rsid w:val="0026267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6267C"/>
    <w:rPr>
      <w:rFonts w:ascii="Calibri" w:hAnsi="Calibri" w:cs="Calibri"/>
      <w:sz w:val="22"/>
    </w:rPr>
  </w:style>
  <w:style w:type="paragraph" w:styleId="a6">
    <w:name w:val="footer"/>
    <w:basedOn w:val="a"/>
    <w:link w:val="a7"/>
    <w:uiPriority w:val="99"/>
    <w:unhideWhenUsed/>
    <w:rsid w:val="0026267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6267C"/>
    <w:rPr>
      <w:rFonts w:ascii="Calibri" w:hAnsi="Calibri" w:cs="Calibri"/>
      <w:sz w:val="22"/>
    </w:rPr>
  </w:style>
  <w:style w:type="paragraph" w:styleId="a8">
    <w:name w:val="List Paragraph"/>
    <w:basedOn w:val="a"/>
    <w:uiPriority w:val="34"/>
    <w:qFormat/>
    <w:rsid w:val="008705C1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DF05D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F05DE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DF05DE"/>
    <w:rPr>
      <w:rFonts w:ascii="Calibri" w:hAnsi="Calibri" w:cs="Calibri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F05D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DF05DE"/>
    <w:rPr>
      <w:rFonts w:ascii="Calibri" w:hAnsi="Calibri" w:cs="Calibri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DF05DE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F05DE"/>
    <w:rPr>
      <w:rFonts w:ascii="Segoe UI" w:hAnsi="Segoe UI" w:cs="Segoe UI"/>
      <w:sz w:val="18"/>
      <w:szCs w:val="18"/>
    </w:rPr>
  </w:style>
  <w:style w:type="character" w:styleId="af0">
    <w:name w:val="Unresolved Mention"/>
    <w:basedOn w:val="a0"/>
    <w:uiPriority w:val="99"/>
    <w:semiHidden/>
    <w:unhideWhenUsed/>
    <w:rsid w:val="00FE0E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3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a@eabr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abr.org/analytics/special-reports/energy-without-border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eabr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1133</Words>
  <Characters>6463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Алпатова Ирина Александровна</dc:creator>
  <cp:keywords/>
  <dc:description/>
  <cp:lastModifiedBy>Алпатова Ирина Александровна</cp:lastModifiedBy>
  <cp:revision>8</cp:revision>
  <dcterms:created xsi:type="dcterms:W3CDTF">2026-10-27T12:08:00Z</dcterms:created>
  <dcterms:modified xsi:type="dcterms:W3CDTF">2026-10-28T14:03:00Z</dcterms:modified>
</cp:coreProperties>
</file>